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Chapter 14 The Organization of International Business</w:t>
      </w:r>
    </w:p>
    <w:p>
      <w:pP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The Evolution of Organization at Philips</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Established in 1891 in Holland,Philips Electronics Nv is one of the world</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oldrest multinationals.The company began making lighting products and over time diversified into a range of businesses that included domestic appliances,consumer electronics,and healthe care products.From the beginning,Holland</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small domestic market created pressures for Philips to look to foreign markets for growth.By the stare of World War 2,Philips already had a global presence.During the war,Holland was occupied by Germany.By necessity,the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national organizations in countries such as Britain,Australia,Brazil,Canada,and the United States gained considerable autonomy during this period.</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After the war,a structure based on strong national organizations remained in place.Each national organization was in essence a self-contained entity that was responsible for much of its own manufacturing,marketing,and sales Most R&amp;Dactivities,however,were centralized at Philips</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headquarters in Eindhoven,Holland.Reflecting this,several product divisions were created.Based in Eindhoven,the product divisions developed technologies and products,which were then made and sold by the different national organizations.During this period,the career track of most senior managers at Philips involved significant postings in various national organizations around the world.</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For several decades this organizational arrangement worked well.It allowed Philips to customize its product offerings,sales,and marketing efforts to the conditions that existed in different national markets.By the 1970s,however,flaws were appearing in the approach.The structure involved significant duplication of activites around the world,particularly in manufacturing,which created an interinsically high-cost structure.When trade barriers were high,this did not matter so much,but by the 1970s trade barriers were starting to fall and competitors,including Sony and Matsushita from Japan,General Electric from the United States,and Samsung from Korea,were gaining market share by serving increasingly global markets from centralized production facilities where they could achieve greater scale economies and hence lower costs.</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Philips</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 xml:space="preserve"> response was to try to tilt the balance of power in its structure away from national organizations and toward the product divisions.International production centers were established under the direction of te product divisions.The national organizations,however,remained responsible for local marketing and sales,and they often maintained control over some local production facilities.One problem Philips faced in trying ti change its structure at this time was that most senior managers had come up through the national organizations.Consequently,they were loyal to them and tended to protect their autonomy.Despite several reorganization efforts,the national organzations remained a strong influence at Philips until the 1990s.</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In the mid-1990s Cor Boonstra became CEO.He famously described 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 xml:space="preserve">s organization structure as a </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plate of spaghetti</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 xml:space="preserve"> and asked how Philips could compete with 350 companies around the world and significant duplication of manufacturing and marketing efforts across nations.Boonstra instituted a radical reorganization.He replaced 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21 product divisions with just seven global business divisions,making them responsible for global product development,production,and marketing.The heads of the divisions reported directly to him,while the national organizations reported to the divisions.The national organizations remained responsible for sales and local marketing efforts,but after this reorganization they finally lost their historic sway on the company.</w:t>
      </w:r>
    </w:p>
    <w:p>
      <w:pPr>
        <w:ind w:firstLine="420"/>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Philips,however,continued to underperform its global rivals.By 2008,Gerard Kleisterless,who succeeded Boonstra as CEO in 2001,decided Philips was still not suffiociently focused on global markets.He reorganized yet again,this time around just three global divisions,health care,lighting and consumer lifestyle(which included 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electronics businesses).The divisions were responsibel for product strategy,global marketing,and shifting production to low-cost locations (or outsourcing production).The divisions also took over some sales responsibilies,particularly dealing with global retail chains such as Walmart,Tesco,and Carrefour.To accommodate national differences,however,some sales and marketing activities remained located at the national organizations.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E0B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2016-04-28T08:40:15Z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